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A7A87" w:rsidRDefault="006A7A87">
      <w:pPr>
        <w:widowControl w:val="0"/>
        <w:autoSpaceDE w:val="0"/>
        <w:autoSpaceDN w:val="0"/>
        <w:adjustRightInd w:val="0"/>
        <w:spacing w:after="0" w:line="240" w:lineRule="auto"/>
        <w:rPr>
          <w:rFonts w:ascii="sans-serif" w:hAnsi="sans-serif" w:cs="sans-serif"/>
          <w:color w:val="000000"/>
          <w:sz w:val="24"/>
          <w:szCs w:val="24"/>
        </w:rPr>
      </w:pPr>
      <w:bookmarkStart w:id="0" w:name="_GoBack"/>
      <w:bookmarkEnd w:id="0"/>
    </w:p>
    <w:p w:rsidR="006A7A87" w:rsidRDefault="006A7A87">
      <w:pPr>
        <w:widowControl w:val="0"/>
        <w:autoSpaceDE w:val="0"/>
        <w:autoSpaceDN w:val="0"/>
        <w:adjustRightInd w:val="0"/>
        <w:spacing w:after="0" w:line="240" w:lineRule="auto"/>
        <w:rPr>
          <w:rFonts w:ascii="Arial" w:hAnsi="Arial" w:cs="Arial"/>
          <w:sz w:val="24"/>
          <w:szCs w:val="24"/>
        </w:rPr>
        <w:sectPr w:rsidR="006A7A87">
          <w:headerReference w:type="default" r:id="rId7"/>
          <w:footerReference w:type="default" r:id="rId8"/>
          <w:pgSz w:w="12240" w:h="15840"/>
          <w:pgMar w:top="1800" w:right="1080" w:bottom="1080" w:left="1080" w:header="720" w:footer="720" w:gutter="0"/>
          <w:cols w:space="720"/>
          <w:noEndnote/>
        </w:sectPr>
      </w:pP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Arial" w:hAnsi="Arial" w:cs="Arial"/>
          <w:sz w:val="24"/>
          <w:szCs w:val="24"/>
        </w:rPr>
        <w:lastRenderedPageBreak/>
        <w:t xml:space="preserve"> </w:t>
      </w:r>
      <w:bookmarkStart w:id="1" w:name="co_document_1"/>
      <w:bookmarkStart w:id="2" w:name="I31225ee2759311dbab489133ffb377e0_Target"/>
      <w:bookmarkEnd w:id="1"/>
      <w:bookmarkEnd w:id="2"/>
    </w:p>
    <w:p w:rsidR="006A7A87" w:rsidRDefault="002B0DDF">
      <w:pPr>
        <w:widowControl w:val="0"/>
        <w:autoSpaceDE w:val="0"/>
        <w:autoSpaceDN w:val="0"/>
        <w:adjustRightInd w:val="0"/>
        <w:spacing w:before="100" w:after="0" w:line="240" w:lineRule="auto"/>
        <w:jc w:val="center"/>
        <w:rPr>
          <w:rFonts w:ascii="Georgia" w:hAnsi="Georgia" w:cs="Georgia"/>
          <w:color w:val="000000"/>
          <w:sz w:val="20"/>
          <w:szCs w:val="20"/>
        </w:rPr>
      </w:pPr>
      <w:r>
        <w:rPr>
          <w:rFonts w:ascii="Georgia" w:hAnsi="Georgia" w:cs="Georgia"/>
          <w:color w:val="000000"/>
          <w:sz w:val="20"/>
          <w:szCs w:val="20"/>
        </w:rPr>
        <w:t>34 A.D.3d 315</w:t>
      </w:r>
    </w:p>
    <w:p w:rsidR="006A7A87" w:rsidRDefault="002B0DDF">
      <w:pPr>
        <w:widowControl w:val="0"/>
        <w:autoSpaceDE w:val="0"/>
        <w:autoSpaceDN w:val="0"/>
        <w:adjustRightInd w:val="0"/>
        <w:spacing w:after="0" w:line="240" w:lineRule="auto"/>
        <w:jc w:val="center"/>
        <w:rPr>
          <w:rFonts w:ascii="Georgia" w:hAnsi="Georgia" w:cs="Georgia"/>
          <w:color w:val="000000"/>
          <w:sz w:val="20"/>
          <w:szCs w:val="20"/>
        </w:rPr>
      </w:pPr>
      <w:proofErr w:type="gramStart"/>
      <w:r>
        <w:rPr>
          <w:rFonts w:ascii="Georgia" w:hAnsi="Georgia" w:cs="Georgia"/>
          <w:color w:val="000000"/>
          <w:sz w:val="20"/>
          <w:szCs w:val="20"/>
        </w:rPr>
        <w:t>Supreme Court, Appellate Division, First Department, New York.</w:t>
      </w:r>
      <w:proofErr w:type="gramEnd"/>
    </w:p>
    <w:p w:rsidR="006A7A87" w:rsidRDefault="002B0DDF">
      <w:pPr>
        <w:widowControl w:val="0"/>
        <w:autoSpaceDE w:val="0"/>
        <w:autoSpaceDN w:val="0"/>
        <w:adjustRightInd w:val="0"/>
        <w:spacing w:before="200" w:after="0" w:line="240" w:lineRule="auto"/>
        <w:ind w:left="100" w:right="100"/>
        <w:jc w:val="center"/>
        <w:rPr>
          <w:rFonts w:ascii="Georgia" w:hAnsi="Georgia" w:cs="Georgia"/>
          <w:color w:val="252525"/>
          <w:sz w:val="20"/>
          <w:szCs w:val="20"/>
        </w:rPr>
      </w:pPr>
      <w:r>
        <w:rPr>
          <w:rFonts w:ascii="Georgia" w:hAnsi="Georgia" w:cs="Georgia"/>
          <w:color w:val="252525"/>
          <w:sz w:val="20"/>
          <w:szCs w:val="20"/>
        </w:rPr>
        <w:t>KENNEY, BECKER, LLP, Plaintiff–Appellant,</w:t>
      </w:r>
    </w:p>
    <w:p w:rsidR="006A7A87" w:rsidRDefault="002B0DDF">
      <w:pPr>
        <w:widowControl w:val="0"/>
        <w:autoSpaceDE w:val="0"/>
        <w:autoSpaceDN w:val="0"/>
        <w:adjustRightInd w:val="0"/>
        <w:spacing w:after="0" w:line="240" w:lineRule="auto"/>
        <w:ind w:left="100" w:right="100"/>
        <w:jc w:val="center"/>
        <w:rPr>
          <w:rFonts w:ascii="Georgia" w:hAnsi="Georgia" w:cs="Georgia"/>
          <w:color w:val="252525"/>
          <w:sz w:val="20"/>
          <w:szCs w:val="20"/>
        </w:rPr>
      </w:pPr>
      <w:proofErr w:type="gramStart"/>
      <w:r>
        <w:rPr>
          <w:rFonts w:ascii="Georgia" w:hAnsi="Georgia" w:cs="Georgia"/>
          <w:color w:val="252525"/>
          <w:sz w:val="20"/>
          <w:szCs w:val="20"/>
        </w:rPr>
        <w:t>v</w:t>
      </w:r>
      <w:proofErr w:type="gramEnd"/>
      <w:r>
        <w:rPr>
          <w:rFonts w:ascii="Georgia" w:hAnsi="Georgia" w:cs="Georgia"/>
          <w:color w:val="252525"/>
          <w:sz w:val="20"/>
          <w:szCs w:val="20"/>
        </w:rPr>
        <w:t>.</w:t>
      </w:r>
    </w:p>
    <w:p w:rsidR="006A7A87" w:rsidRDefault="002B0DDF">
      <w:pPr>
        <w:widowControl w:val="0"/>
        <w:autoSpaceDE w:val="0"/>
        <w:autoSpaceDN w:val="0"/>
        <w:adjustRightInd w:val="0"/>
        <w:spacing w:line="240" w:lineRule="auto"/>
        <w:ind w:left="100" w:right="100"/>
        <w:jc w:val="center"/>
        <w:rPr>
          <w:rFonts w:ascii="Georgia" w:hAnsi="Georgia" w:cs="Georgia"/>
          <w:color w:val="252525"/>
          <w:sz w:val="20"/>
          <w:szCs w:val="20"/>
        </w:rPr>
      </w:pPr>
      <w:r>
        <w:rPr>
          <w:rFonts w:ascii="Georgia" w:hAnsi="Georgia" w:cs="Georgia"/>
          <w:color w:val="252525"/>
          <w:sz w:val="20"/>
          <w:szCs w:val="20"/>
        </w:rPr>
        <w:t>Martin S. KENNEY, et al., Defendants–Respondents.</w:t>
      </w:r>
    </w:p>
    <w:p w:rsidR="006A7A87" w:rsidRDefault="002B0DDF">
      <w:pPr>
        <w:widowControl w:val="0"/>
        <w:autoSpaceDE w:val="0"/>
        <w:autoSpaceDN w:val="0"/>
        <w:adjustRightInd w:val="0"/>
        <w:spacing w:line="240" w:lineRule="auto"/>
        <w:jc w:val="center"/>
        <w:rPr>
          <w:rFonts w:ascii="Georgia" w:hAnsi="Georgia" w:cs="Georgia"/>
          <w:color w:val="000000"/>
          <w:sz w:val="20"/>
          <w:szCs w:val="20"/>
        </w:rPr>
      </w:pPr>
      <w:r>
        <w:rPr>
          <w:rFonts w:ascii="Georgia" w:hAnsi="Georgia" w:cs="Georgia"/>
          <w:color w:val="000000"/>
          <w:sz w:val="20"/>
          <w:szCs w:val="20"/>
        </w:rPr>
        <w:t>Nov. 16, 2006.</w:t>
      </w:r>
    </w:p>
    <w:p w:rsidR="006A7A87" w:rsidRDefault="002B0DDF">
      <w:pPr>
        <w:widowControl w:val="0"/>
        <w:autoSpaceDE w:val="0"/>
        <w:autoSpaceDN w:val="0"/>
        <w:adjustRightInd w:val="0"/>
        <w:spacing w:before="400" w:after="0" w:line="240" w:lineRule="auto"/>
        <w:jc w:val="both"/>
        <w:rPr>
          <w:rFonts w:ascii="Times New Roman" w:hAnsi="Times New Roman" w:cs="Times New Roman"/>
          <w:b/>
          <w:bCs/>
          <w:color w:val="252525"/>
          <w:sz w:val="20"/>
          <w:szCs w:val="20"/>
        </w:rPr>
      </w:pPr>
      <w:bookmarkStart w:id="3" w:name="co_synopsis_1"/>
      <w:bookmarkEnd w:id="3"/>
      <w:r>
        <w:rPr>
          <w:rFonts w:ascii="Times New Roman" w:hAnsi="Times New Roman" w:cs="Times New Roman"/>
          <w:b/>
          <w:bCs/>
          <w:color w:val="252525"/>
          <w:sz w:val="20"/>
          <w:szCs w:val="20"/>
        </w:rPr>
        <w:t>Synopsis</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b/>
          <w:bCs/>
          <w:color w:val="000000"/>
          <w:sz w:val="20"/>
          <w:szCs w:val="20"/>
        </w:rPr>
        <w:t>Background:</w:t>
      </w:r>
      <w:r>
        <w:rPr>
          <w:rFonts w:ascii="Times New Roman" w:hAnsi="Times New Roman" w:cs="Times New Roman"/>
          <w:color w:val="000000"/>
          <w:sz w:val="20"/>
          <w:szCs w:val="20"/>
        </w:rPr>
        <w:t xml:space="preserve"> Law firm brought action to recover a legal fee. The Supreme Court, New York County, </w:t>
      </w:r>
      <w:hyperlink r:id="rId9" w:history="1">
        <w:proofErr w:type="spellStart"/>
        <w:r>
          <w:rPr>
            <w:rFonts w:ascii="Times New Roman" w:hAnsi="Times New Roman" w:cs="Times New Roman"/>
            <w:color w:val="0000FF"/>
            <w:sz w:val="20"/>
            <w:szCs w:val="20"/>
          </w:rPr>
          <w:t>Faviola</w:t>
        </w:r>
        <w:proofErr w:type="spellEnd"/>
        <w:r>
          <w:rPr>
            <w:rFonts w:ascii="Times New Roman" w:hAnsi="Times New Roman" w:cs="Times New Roman"/>
            <w:color w:val="0000FF"/>
            <w:sz w:val="20"/>
            <w:szCs w:val="20"/>
          </w:rPr>
          <w:t xml:space="preserve"> A. Soto</w:t>
        </w:r>
      </w:hyperlink>
      <w:r>
        <w:rPr>
          <w:rFonts w:ascii="Times New Roman" w:hAnsi="Times New Roman" w:cs="Times New Roman"/>
          <w:color w:val="000000"/>
          <w:sz w:val="20"/>
          <w:szCs w:val="20"/>
        </w:rPr>
        <w:t xml:space="preserve">, J., entered order directing law firm to produce </w:t>
      </w:r>
      <w:proofErr w:type="gramStart"/>
      <w:r>
        <w:rPr>
          <w:rFonts w:ascii="Times New Roman" w:hAnsi="Times New Roman" w:cs="Times New Roman"/>
          <w:color w:val="000000"/>
          <w:sz w:val="20"/>
          <w:szCs w:val="20"/>
        </w:rPr>
        <w:t>a certain</w:t>
      </w:r>
      <w:proofErr w:type="gramEnd"/>
      <w:r>
        <w:rPr>
          <w:rFonts w:ascii="Times New Roman" w:hAnsi="Times New Roman" w:cs="Times New Roman"/>
          <w:color w:val="000000"/>
          <w:sz w:val="20"/>
          <w:szCs w:val="20"/>
        </w:rPr>
        <w:t xml:space="preserve"> e-mail and to conduct client’s deposition in Florida. Firm appealed.</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2B0DDF">
      <w:pPr>
        <w:widowControl w:val="0"/>
        <w:autoSpaceDE w:val="0"/>
        <w:autoSpaceDN w:val="0"/>
        <w:adjustRightInd w:val="0"/>
        <w:spacing w:before="400" w:after="0" w:line="240" w:lineRule="auto"/>
        <w:jc w:val="both"/>
        <w:rPr>
          <w:rFonts w:ascii="Times New Roman" w:hAnsi="Times New Roman" w:cs="Times New Roman"/>
          <w:color w:val="000000"/>
          <w:sz w:val="20"/>
          <w:szCs w:val="20"/>
        </w:rPr>
      </w:pPr>
      <w:r>
        <w:rPr>
          <w:rFonts w:ascii="Times New Roman" w:hAnsi="Times New Roman" w:cs="Times New Roman"/>
          <w:b/>
          <w:bCs/>
          <w:color w:val="000000"/>
          <w:sz w:val="20"/>
          <w:szCs w:val="20"/>
        </w:rPr>
        <w:t>Holdings:</w:t>
      </w:r>
      <w:r>
        <w:rPr>
          <w:rFonts w:ascii="Times New Roman" w:hAnsi="Times New Roman" w:cs="Times New Roman"/>
          <w:color w:val="000000"/>
          <w:sz w:val="20"/>
          <w:szCs w:val="20"/>
        </w:rPr>
        <w:t xml:space="preserve"> The Supreme Court, Appellate Division, held that:</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B34CCD">
      <w:pPr>
        <w:widowControl w:val="0"/>
        <w:autoSpaceDE w:val="0"/>
        <w:autoSpaceDN w:val="0"/>
        <w:adjustRightInd w:val="0"/>
        <w:spacing w:after="0" w:line="240" w:lineRule="auto"/>
        <w:jc w:val="both"/>
        <w:rPr>
          <w:rFonts w:ascii="Times New Roman" w:hAnsi="Times New Roman" w:cs="Times New Roman"/>
          <w:color w:val="000000"/>
          <w:sz w:val="20"/>
          <w:szCs w:val="20"/>
        </w:rPr>
      </w:pPr>
      <w:hyperlink w:anchor="co_anchor_F12010668134_1" w:history="1">
        <w:r w:rsidR="002B0DDF">
          <w:rPr>
            <w:rFonts w:ascii="Times New Roman" w:hAnsi="Times New Roman" w:cs="Times New Roman"/>
            <w:color w:val="0000FF"/>
            <w:sz w:val="20"/>
            <w:szCs w:val="20"/>
            <w:vertAlign w:val="superscript"/>
          </w:rPr>
          <w:t>[1]</w:t>
        </w:r>
      </w:hyperlink>
      <w:r w:rsidR="002B0DDF">
        <w:rPr>
          <w:rFonts w:ascii="Times New Roman" w:hAnsi="Times New Roman" w:cs="Times New Roman"/>
          <w:color w:val="000000"/>
          <w:sz w:val="20"/>
          <w:szCs w:val="20"/>
        </w:rPr>
        <w:t xml:space="preserve"> </w:t>
      </w:r>
      <w:proofErr w:type="gramStart"/>
      <w:r w:rsidR="002B0DDF">
        <w:rPr>
          <w:rFonts w:ascii="Times New Roman" w:hAnsi="Times New Roman" w:cs="Times New Roman"/>
          <w:color w:val="000000"/>
          <w:sz w:val="20"/>
          <w:szCs w:val="20"/>
        </w:rPr>
        <w:t>e</w:t>
      </w:r>
      <w:proofErr w:type="gramEnd"/>
      <w:r w:rsidR="002B0DDF">
        <w:rPr>
          <w:rFonts w:ascii="Times New Roman" w:hAnsi="Times New Roman" w:cs="Times New Roman"/>
          <w:color w:val="000000"/>
          <w:sz w:val="20"/>
          <w:szCs w:val="20"/>
        </w:rPr>
        <w:t>-mail recounting recollections of firm’s former employee of conversations with principal and client was not immune from disclosure, and</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B34CCD">
      <w:pPr>
        <w:widowControl w:val="0"/>
        <w:autoSpaceDE w:val="0"/>
        <w:autoSpaceDN w:val="0"/>
        <w:adjustRightInd w:val="0"/>
        <w:spacing w:after="0" w:line="240" w:lineRule="auto"/>
        <w:jc w:val="both"/>
        <w:rPr>
          <w:rFonts w:ascii="Times New Roman" w:hAnsi="Times New Roman" w:cs="Times New Roman"/>
          <w:color w:val="000000"/>
          <w:sz w:val="20"/>
          <w:szCs w:val="20"/>
        </w:rPr>
      </w:pPr>
      <w:hyperlink w:anchor="co_anchor_F22010668134_1" w:history="1">
        <w:r w:rsidR="002B0DDF">
          <w:rPr>
            <w:rFonts w:ascii="Times New Roman" w:hAnsi="Times New Roman" w:cs="Times New Roman"/>
            <w:color w:val="0000FF"/>
            <w:sz w:val="20"/>
            <w:szCs w:val="20"/>
            <w:vertAlign w:val="superscript"/>
          </w:rPr>
          <w:t>[2]</w:t>
        </w:r>
      </w:hyperlink>
      <w:r w:rsidR="002B0DDF">
        <w:rPr>
          <w:rFonts w:ascii="Times New Roman" w:hAnsi="Times New Roman" w:cs="Times New Roman"/>
          <w:color w:val="000000"/>
          <w:sz w:val="20"/>
          <w:szCs w:val="20"/>
        </w:rPr>
        <w:t xml:space="preserve"> </w:t>
      </w:r>
      <w:proofErr w:type="gramStart"/>
      <w:r w:rsidR="002B0DDF">
        <w:rPr>
          <w:rFonts w:ascii="Times New Roman" w:hAnsi="Times New Roman" w:cs="Times New Roman"/>
          <w:color w:val="000000"/>
          <w:sz w:val="20"/>
          <w:szCs w:val="20"/>
        </w:rPr>
        <w:t>client</w:t>
      </w:r>
      <w:proofErr w:type="gramEnd"/>
      <w:r w:rsidR="002B0DDF">
        <w:rPr>
          <w:rFonts w:ascii="Times New Roman" w:hAnsi="Times New Roman" w:cs="Times New Roman"/>
          <w:color w:val="000000"/>
          <w:sz w:val="20"/>
          <w:szCs w:val="20"/>
        </w:rPr>
        <w:t xml:space="preserve"> failed to demonstrate that his deposition in New York would cause him substantial hardship.</w:t>
      </w:r>
    </w:p>
    <w:p w:rsidR="006A7A87" w:rsidRDefault="002B0DDF">
      <w:pPr>
        <w:widowControl w:val="0"/>
        <w:autoSpaceDE w:val="0"/>
        <w:autoSpaceDN w:val="0"/>
        <w:adjustRightInd w:val="0"/>
        <w:spacing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Affirmed as modified.</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2B0DDF">
      <w:pPr>
        <w:widowControl w:val="0"/>
        <w:autoSpaceDE w:val="0"/>
        <w:autoSpaceDN w:val="0"/>
        <w:adjustRightInd w:val="0"/>
        <w:spacing w:before="200" w:line="240" w:lineRule="auto"/>
        <w:jc w:val="both"/>
        <w:rPr>
          <w:rFonts w:ascii="Times New Roman" w:hAnsi="Times New Roman" w:cs="Times New Roman"/>
          <w:b/>
          <w:bCs/>
          <w:color w:val="252525"/>
          <w:sz w:val="20"/>
          <w:szCs w:val="20"/>
        </w:rPr>
      </w:pPr>
      <w:bookmarkStart w:id="4" w:name="co_attorneysAndLawFirms_1"/>
      <w:bookmarkEnd w:id="4"/>
      <w:r>
        <w:rPr>
          <w:rFonts w:ascii="Times New Roman" w:hAnsi="Times New Roman" w:cs="Times New Roman"/>
          <w:b/>
          <w:bCs/>
          <w:color w:val="252525"/>
          <w:sz w:val="20"/>
          <w:szCs w:val="20"/>
        </w:rPr>
        <w:t>Attorneys and Law Firms</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bookmarkStart w:id="5" w:name="co_pp_sp_602_265_1"/>
      <w:bookmarkEnd w:id="5"/>
      <w:r>
        <w:rPr>
          <w:rFonts w:ascii="Times New Roman" w:hAnsi="Times New Roman" w:cs="Times New Roman"/>
          <w:b/>
          <w:bCs/>
          <w:color w:val="000000"/>
          <w:sz w:val="20"/>
          <w:szCs w:val="20"/>
        </w:rPr>
        <w:t>**265</w:t>
      </w:r>
      <w:r>
        <w:rPr>
          <w:rFonts w:ascii="Times New Roman" w:hAnsi="Times New Roman" w:cs="Times New Roman"/>
          <w:color w:val="000000"/>
          <w:sz w:val="20"/>
          <w:szCs w:val="20"/>
        </w:rPr>
        <w:t xml:space="preserve"> Stephen </w:t>
      </w:r>
      <w:proofErr w:type="spellStart"/>
      <w:r>
        <w:rPr>
          <w:rFonts w:ascii="Times New Roman" w:hAnsi="Times New Roman" w:cs="Times New Roman"/>
          <w:color w:val="000000"/>
          <w:sz w:val="20"/>
          <w:szCs w:val="20"/>
        </w:rPr>
        <w:t>Latzman</w:t>
      </w:r>
      <w:proofErr w:type="spellEnd"/>
      <w:r>
        <w:rPr>
          <w:rFonts w:ascii="Times New Roman" w:hAnsi="Times New Roman" w:cs="Times New Roman"/>
          <w:color w:val="000000"/>
          <w:sz w:val="20"/>
          <w:szCs w:val="20"/>
        </w:rPr>
        <w:t>, New York, for appellant.</w:t>
      </w:r>
    </w:p>
    <w:p w:rsidR="006A7A87" w:rsidRDefault="002B0DDF">
      <w:pPr>
        <w:widowControl w:val="0"/>
        <w:autoSpaceDE w:val="0"/>
        <w:autoSpaceDN w:val="0"/>
        <w:adjustRightInd w:val="0"/>
        <w:spacing w:before="200" w:after="0" w:line="240" w:lineRule="auto"/>
        <w:jc w:val="both"/>
        <w:rPr>
          <w:rFonts w:ascii="Times New Roman" w:hAnsi="Times New Roman" w:cs="Times New Roman"/>
          <w:color w:val="000000"/>
          <w:sz w:val="20"/>
          <w:szCs w:val="20"/>
        </w:rPr>
      </w:pPr>
      <w:proofErr w:type="gramStart"/>
      <w:r>
        <w:rPr>
          <w:rFonts w:ascii="Times New Roman" w:hAnsi="Times New Roman" w:cs="Times New Roman"/>
          <w:color w:val="000000"/>
          <w:sz w:val="20"/>
          <w:szCs w:val="20"/>
        </w:rPr>
        <w:t>Cohen Pope PLLC, New York (</w:t>
      </w:r>
      <w:hyperlink r:id="rId10" w:history="1">
        <w:r>
          <w:rPr>
            <w:rFonts w:ascii="Times New Roman" w:hAnsi="Times New Roman" w:cs="Times New Roman"/>
            <w:color w:val="0000FF"/>
            <w:sz w:val="20"/>
            <w:szCs w:val="20"/>
          </w:rPr>
          <w:t xml:space="preserve">Esther S. </w:t>
        </w:r>
        <w:proofErr w:type="spellStart"/>
        <w:r>
          <w:rPr>
            <w:rFonts w:ascii="Times New Roman" w:hAnsi="Times New Roman" w:cs="Times New Roman"/>
            <w:color w:val="0000FF"/>
            <w:sz w:val="20"/>
            <w:szCs w:val="20"/>
          </w:rPr>
          <w:t>Trakinski</w:t>
        </w:r>
        <w:proofErr w:type="spellEnd"/>
      </w:hyperlink>
      <w:r>
        <w:rPr>
          <w:rFonts w:ascii="Times New Roman" w:hAnsi="Times New Roman" w:cs="Times New Roman"/>
          <w:color w:val="000000"/>
          <w:sz w:val="20"/>
          <w:szCs w:val="20"/>
        </w:rPr>
        <w:t xml:space="preserve"> of counsel), for respondents.</w:t>
      </w:r>
      <w:proofErr w:type="gramEnd"/>
    </w:p>
    <w:p w:rsidR="006A7A87" w:rsidRDefault="00B34CCD">
      <w:pPr>
        <w:widowControl w:val="0"/>
        <w:autoSpaceDE w:val="0"/>
        <w:autoSpaceDN w:val="0"/>
        <w:adjustRightInd w:val="0"/>
        <w:spacing w:before="200" w:after="0" w:line="240" w:lineRule="auto"/>
        <w:jc w:val="both"/>
        <w:rPr>
          <w:rFonts w:ascii="Times New Roman" w:hAnsi="Times New Roman" w:cs="Times New Roman"/>
          <w:color w:val="000000"/>
          <w:sz w:val="20"/>
          <w:szCs w:val="20"/>
        </w:rPr>
      </w:pPr>
      <w:hyperlink r:id="rId11" w:history="1">
        <w:r w:rsidR="002B0DDF">
          <w:rPr>
            <w:rFonts w:ascii="Times New Roman" w:hAnsi="Times New Roman" w:cs="Times New Roman"/>
            <w:color w:val="0000FF"/>
            <w:sz w:val="20"/>
            <w:szCs w:val="20"/>
          </w:rPr>
          <w:t>BUCKLEY</w:t>
        </w:r>
      </w:hyperlink>
      <w:r w:rsidR="002B0DDF">
        <w:rPr>
          <w:rFonts w:ascii="Times New Roman" w:hAnsi="Times New Roman" w:cs="Times New Roman"/>
          <w:color w:val="000000"/>
          <w:sz w:val="20"/>
          <w:szCs w:val="20"/>
        </w:rPr>
        <w:t xml:space="preserve">, P.J., </w:t>
      </w:r>
      <w:hyperlink r:id="rId12" w:history="1">
        <w:r w:rsidR="002B0DDF">
          <w:rPr>
            <w:rFonts w:ascii="Times New Roman" w:hAnsi="Times New Roman" w:cs="Times New Roman"/>
            <w:color w:val="0000FF"/>
            <w:sz w:val="20"/>
            <w:szCs w:val="20"/>
          </w:rPr>
          <w:t>TOM</w:t>
        </w:r>
      </w:hyperlink>
      <w:r w:rsidR="002B0DDF">
        <w:rPr>
          <w:rFonts w:ascii="Times New Roman" w:hAnsi="Times New Roman" w:cs="Times New Roman"/>
          <w:color w:val="000000"/>
          <w:sz w:val="20"/>
          <w:szCs w:val="20"/>
        </w:rPr>
        <w:t xml:space="preserve">, </w:t>
      </w:r>
      <w:hyperlink r:id="rId13" w:history="1">
        <w:r w:rsidR="002B0DDF">
          <w:rPr>
            <w:rFonts w:ascii="Times New Roman" w:hAnsi="Times New Roman" w:cs="Times New Roman"/>
            <w:color w:val="0000FF"/>
            <w:sz w:val="20"/>
            <w:szCs w:val="20"/>
          </w:rPr>
          <w:t>SAXE</w:t>
        </w:r>
      </w:hyperlink>
      <w:r w:rsidR="002B0DDF">
        <w:rPr>
          <w:rFonts w:ascii="Times New Roman" w:hAnsi="Times New Roman" w:cs="Times New Roman"/>
          <w:color w:val="000000"/>
          <w:sz w:val="20"/>
          <w:szCs w:val="20"/>
        </w:rPr>
        <w:t xml:space="preserve">, </w:t>
      </w:r>
      <w:hyperlink r:id="rId14" w:history="1">
        <w:r w:rsidR="002B0DDF">
          <w:rPr>
            <w:rFonts w:ascii="Times New Roman" w:hAnsi="Times New Roman" w:cs="Times New Roman"/>
            <w:color w:val="0000FF"/>
            <w:sz w:val="20"/>
            <w:szCs w:val="20"/>
          </w:rPr>
          <w:t>SULLIVAN</w:t>
        </w:r>
      </w:hyperlink>
      <w:r w:rsidR="002B0DDF">
        <w:rPr>
          <w:rFonts w:ascii="Times New Roman" w:hAnsi="Times New Roman" w:cs="Times New Roman"/>
          <w:color w:val="000000"/>
          <w:sz w:val="20"/>
          <w:szCs w:val="20"/>
        </w:rPr>
        <w:t xml:space="preserve">, </w:t>
      </w:r>
      <w:hyperlink r:id="rId15" w:history="1">
        <w:proofErr w:type="spellStart"/>
        <w:r w:rsidR="002B0DDF">
          <w:rPr>
            <w:rFonts w:ascii="Times New Roman" w:hAnsi="Times New Roman" w:cs="Times New Roman"/>
            <w:color w:val="0000FF"/>
            <w:sz w:val="20"/>
            <w:szCs w:val="20"/>
          </w:rPr>
          <w:t>McGUIRE</w:t>
        </w:r>
        <w:proofErr w:type="spellEnd"/>
      </w:hyperlink>
      <w:r w:rsidR="002B0DDF">
        <w:rPr>
          <w:rFonts w:ascii="Times New Roman" w:hAnsi="Times New Roman" w:cs="Times New Roman"/>
          <w:color w:val="000000"/>
          <w:sz w:val="20"/>
          <w:szCs w:val="20"/>
        </w:rPr>
        <w:t xml:space="preserve">, </w:t>
      </w:r>
      <w:r w:rsidR="002B0DDF">
        <w:rPr>
          <w:rFonts w:ascii="Times New Roman" w:hAnsi="Times New Roman" w:cs="Times New Roman"/>
          <w:color w:val="000000"/>
          <w:sz w:val="20"/>
          <w:szCs w:val="20"/>
        </w:rPr>
        <w:lastRenderedPageBreak/>
        <w:t>JJ.</w:t>
      </w:r>
    </w:p>
    <w:p w:rsidR="006A7A87" w:rsidRDefault="002B0DDF">
      <w:pPr>
        <w:widowControl w:val="0"/>
        <w:autoSpaceDE w:val="0"/>
        <w:autoSpaceDN w:val="0"/>
        <w:adjustRightInd w:val="0"/>
        <w:spacing w:before="200" w:after="0" w:line="240" w:lineRule="auto"/>
        <w:jc w:val="both"/>
        <w:rPr>
          <w:rFonts w:ascii="Times New Roman" w:hAnsi="Times New Roman" w:cs="Times New Roman"/>
          <w:b/>
          <w:bCs/>
          <w:color w:val="252525"/>
          <w:sz w:val="20"/>
          <w:szCs w:val="20"/>
        </w:rPr>
      </w:pPr>
      <w:bookmarkStart w:id="6" w:name="co_opinion_1"/>
      <w:bookmarkEnd w:id="6"/>
      <w:r>
        <w:rPr>
          <w:rFonts w:ascii="Times New Roman" w:hAnsi="Times New Roman" w:cs="Times New Roman"/>
          <w:b/>
          <w:bCs/>
          <w:color w:val="252525"/>
          <w:sz w:val="20"/>
          <w:szCs w:val="20"/>
        </w:rPr>
        <w:t>Opinion</w:t>
      </w:r>
    </w:p>
    <w:p w:rsidR="006A7A87" w:rsidRDefault="006A7A87">
      <w:pPr>
        <w:widowControl w:val="0"/>
        <w:autoSpaceDE w:val="0"/>
        <w:autoSpaceDN w:val="0"/>
        <w:adjustRightInd w:val="0"/>
        <w:spacing w:after="0" w:line="240" w:lineRule="auto"/>
        <w:jc w:val="both"/>
        <w:rPr>
          <w:rFonts w:ascii="Times New Roman" w:hAnsi="Times New Roman" w:cs="Times New Roman"/>
          <w:color w:val="000000"/>
          <w:sz w:val="20"/>
          <w:szCs w:val="20"/>
        </w:rPr>
      </w:pPr>
      <w:bookmarkStart w:id="7" w:name="co_anchor_I35516c700ef511e18b05fdf15589d"/>
      <w:bookmarkEnd w:id="7"/>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bookmarkStart w:id="8" w:name="co_pp_sp_7049_315_1"/>
      <w:bookmarkEnd w:id="8"/>
      <w:r>
        <w:rPr>
          <w:rFonts w:ascii="Times New Roman" w:hAnsi="Times New Roman" w:cs="Times New Roman"/>
          <w:b/>
          <w:bCs/>
          <w:color w:val="000000"/>
          <w:sz w:val="20"/>
          <w:szCs w:val="20"/>
        </w:rPr>
        <w:t>*315</w:t>
      </w:r>
      <w:r>
        <w:rPr>
          <w:rFonts w:ascii="Times New Roman" w:hAnsi="Times New Roman" w:cs="Times New Roman"/>
          <w:color w:val="000000"/>
          <w:sz w:val="20"/>
          <w:szCs w:val="20"/>
        </w:rPr>
        <w:t xml:space="preserve"> Order, Supreme Court, New York County (</w:t>
      </w:r>
      <w:proofErr w:type="spellStart"/>
      <w:r>
        <w:rPr>
          <w:rFonts w:ascii="Times New Roman" w:hAnsi="Times New Roman" w:cs="Times New Roman"/>
          <w:color w:val="000000"/>
          <w:sz w:val="20"/>
          <w:szCs w:val="20"/>
        </w:rPr>
        <w:t>Faviola</w:t>
      </w:r>
      <w:proofErr w:type="spellEnd"/>
      <w:r>
        <w:rPr>
          <w:rFonts w:ascii="Times New Roman" w:hAnsi="Times New Roman" w:cs="Times New Roman"/>
          <w:color w:val="000000"/>
          <w:sz w:val="20"/>
          <w:szCs w:val="20"/>
        </w:rPr>
        <w:t xml:space="preserve"> A. Soto, J.), entered February 9, 2006, which, in an action to recover a legal fee, directed that plaintiff produce a certain e-mail and that defendant Kenney’s deposition be conducted in Florida, unanimously modified, on the law, the facts and in the exercise of discretion, to vacate so much of the order as directs that defendant Kenney’s deposition be conducted in Florida, and to direct instead that such deposition be conducted in New York, and otherwise affirmed, without costs.</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B34CCD">
      <w:pPr>
        <w:widowControl w:val="0"/>
        <w:autoSpaceDE w:val="0"/>
        <w:autoSpaceDN w:val="0"/>
        <w:adjustRightInd w:val="0"/>
        <w:spacing w:after="0" w:line="240" w:lineRule="auto"/>
        <w:jc w:val="both"/>
        <w:rPr>
          <w:rFonts w:ascii="Times New Roman" w:hAnsi="Times New Roman" w:cs="Times New Roman"/>
          <w:color w:val="000000"/>
          <w:sz w:val="20"/>
          <w:szCs w:val="20"/>
        </w:rPr>
      </w:pPr>
      <w:hyperlink w:anchor="co_anchor_F12010668134_1" w:history="1">
        <w:r w:rsidR="002B0DDF">
          <w:rPr>
            <w:rFonts w:ascii="Times New Roman" w:hAnsi="Times New Roman" w:cs="Times New Roman"/>
            <w:b/>
            <w:bCs/>
            <w:color w:val="252525"/>
            <w:sz w:val="20"/>
            <w:szCs w:val="20"/>
            <w:vertAlign w:val="superscript"/>
          </w:rPr>
          <w:t>[1]</w:t>
        </w:r>
      </w:hyperlink>
      <w:bookmarkStart w:id="9" w:name="co_anchor_B12010668134_1"/>
      <w:bookmarkEnd w:id="9"/>
      <w:r w:rsidR="002B0DDF">
        <w:rPr>
          <w:rFonts w:ascii="Times New Roman" w:hAnsi="Times New Roman" w:cs="Times New Roman"/>
          <w:color w:val="000000"/>
          <w:sz w:val="20"/>
          <w:szCs w:val="20"/>
        </w:rPr>
        <w:t xml:space="preserve"> The subject e-mail was sent after commencement of the action by a former employee of plaintiff to plaintiff’s attorney at plaintiff’s request following a chance encounter between the former employee and a principal of plaintiff, and recounts the former employee’s recollections of conversations with plaintiff’s principal and one of the defendants. After an in camera review, we find that the e-mail was not prepared for purposes of the litigation (</w:t>
      </w:r>
      <w:hyperlink r:id="rId16" w:history="1">
        <w:r w:rsidR="002B0DDF">
          <w:rPr>
            <w:rFonts w:ascii="Times New Roman" w:hAnsi="Times New Roman" w:cs="Times New Roman"/>
            <w:color w:val="0000FF"/>
            <w:sz w:val="20"/>
            <w:szCs w:val="20"/>
          </w:rPr>
          <w:t>CPLR 3101</w:t>
        </w:r>
      </w:hyperlink>
      <w:r w:rsidR="002B0DDF">
        <w:rPr>
          <w:rFonts w:ascii="Times New Roman" w:hAnsi="Times New Roman" w:cs="Times New Roman"/>
          <w:color w:val="000000"/>
          <w:sz w:val="20"/>
          <w:szCs w:val="20"/>
        </w:rPr>
        <w:t xml:space="preserve"> [d][2</w:t>
      </w:r>
      <w:proofErr w:type="gramStart"/>
      <w:r w:rsidR="002B0DDF">
        <w:rPr>
          <w:rFonts w:ascii="Times New Roman" w:hAnsi="Times New Roman" w:cs="Times New Roman"/>
          <w:color w:val="000000"/>
          <w:sz w:val="20"/>
          <w:szCs w:val="20"/>
        </w:rPr>
        <w:t>] )</w:t>
      </w:r>
      <w:proofErr w:type="gramEnd"/>
      <w:r w:rsidR="002B0DDF">
        <w:rPr>
          <w:rFonts w:ascii="Times New Roman" w:hAnsi="Times New Roman" w:cs="Times New Roman"/>
          <w:color w:val="000000"/>
          <w:sz w:val="20"/>
          <w:szCs w:val="20"/>
        </w:rPr>
        <w:t>, is not primarily a communication of a legal character between an attorney and client (</w:t>
      </w:r>
      <w:hyperlink r:id="rId17" w:history="1">
        <w:r w:rsidR="002B0DDF">
          <w:rPr>
            <w:rFonts w:ascii="Times New Roman" w:hAnsi="Times New Roman" w:cs="Times New Roman"/>
            <w:color w:val="0000FF"/>
            <w:sz w:val="20"/>
            <w:szCs w:val="20"/>
          </w:rPr>
          <w:t>CPLR 3101</w:t>
        </w:r>
      </w:hyperlink>
      <w:r w:rsidR="002B0DDF">
        <w:rPr>
          <w:rFonts w:ascii="Times New Roman" w:hAnsi="Times New Roman" w:cs="Times New Roman"/>
          <w:color w:val="000000"/>
          <w:sz w:val="20"/>
          <w:szCs w:val="20"/>
        </w:rPr>
        <w:t xml:space="preserve">[b]; </w:t>
      </w:r>
      <w:r w:rsidR="002B0DDF">
        <w:rPr>
          <w:rFonts w:ascii="Times New Roman" w:hAnsi="Times New Roman" w:cs="Times New Roman"/>
          <w:i/>
          <w:iCs/>
          <w:color w:val="000000"/>
          <w:sz w:val="20"/>
          <w:szCs w:val="20"/>
        </w:rPr>
        <w:t xml:space="preserve">see </w:t>
      </w:r>
      <w:hyperlink r:id="rId18" w:history="1">
        <w:r w:rsidR="002B0DDF">
          <w:rPr>
            <w:rFonts w:ascii="Times New Roman" w:hAnsi="Times New Roman" w:cs="Times New Roman"/>
            <w:i/>
            <w:iCs/>
            <w:color w:val="0000FF"/>
            <w:sz w:val="20"/>
            <w:szCs w:val="20"/>
          </w:rPr>
          <w:t>Spectrum Sys. Intl. Corp. v. Chemical Bank,</w:t>
        </w:r>
        <w:r w:rsidR="002B0DDF">
          <w:rPr>
            <w:rFonts w:ascii="Times New Roman" w:hAnsi="Times New Roman" w:cs="Times New Roman"/>
            <w:color w:val="0000FF"/>
            <w:sz w:val="20"/>
            <w:szCs w:val="20"/>
          </w:rPr>
          <w:t xml:space="preserve"> 78 N.Y.2d 371, 377–378, 575 N.Y.S.2d 809, 581 N.E.2d 1055 [1991</w:t>
        </w:r>
        <w:proofErr w:type="gramStart"/>
        <w:r w:rsidR="002B0DDF">
          <w:rPr>
            <w:rFonts w:ascii="Times New Roman" w:hAnsi="Times New Roman" w:cs="Times New Roman"/>
            <w:color w:val="0000FF"/>
            <w:sz w:val="20"/>
            <w:szCs w:val="20"/>
          </w:rPr>
          <w:t>] )</w:t>
        </w:r>
        <w:proofErr w:type="gramEnd"/>
        <w:r w:rsidR="002B0DDF">
          <w:rPr>
            <w:rFonts w:ascii="Times New Roman" w:hAnsi="Times New Roman" w:cs="Times New Roman"/>
            <w:color w:val="0000FF"/>
            <w:sz w:val="20"/>
            <w:szCs w:val="20"/>
          </w:rPr>
          <w:t>,</w:t>
        </w:r>
      </w:hyperlink>
      <w:r w:rsidR="002B0DDF">
        <w:rPr>
          <w:rFonts w:ascii="Times New Roman" w:hAnsi="Times New Roman" w:cs="Times New Roman"/>
          <w:color w:val="000000"/>
          <w:sz w:val="20"/>
          <w:szCs w:val="20"/>
        </w:rPr>
        <w:t xml:space="preserve"> and is not otherwise immune from disclosure.</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B34CCD">
      <w:pPr>
        <w:widowControl w:val="0"/>
        <w:autoSpaceDE w:val="0"/>
        <w:autoSpaceDN w:val="0"/>
        <w:adjustRightInd w:val="0"/>
        <w:spacing w:after="0" w:line="240" w:lineRule="auto"/>
        <w:jc w:val="both"/>
        <w:rPr>
          <w:rFonts w:ascii="Times New Roman" w:hAnsi="Times New Roman" w:cs="Times New Roman"/>
          <w:color w:val="000000"/>
          <w:sz w:val="20"/>
          <w:szCs w:val="20"/>
        </w:rPr>
      </w:pPr>
      <w:hyperlink w:anchor="co_anchor_F22010668134_1" w:history="1">
        <w:r w:rsidR="002B0DDF">
          <w:rPr>
            <w:rFonts w:ascii="Times New Roman" w:hAnsi="Times New Roman" w:cs="Times New Roman"/>
            <w:b/>
            <w:bCs/>
            <w:color w:val="252525"/>
            <w:sz w:val="20"/>
            <w:szCs w:val="20"/>
            <w:vertAlign w:val="superscript"/>
          </w:rPr>
          <w:t>[2]</w:t>
        </w:r>
      </w:hyperlink>
      <w:bookmarkStart w:id="10" w:name="co_anchor_B22010668134_1"/>
      <w:bookmarkEnd w:id="10"/>
      <w:r w:rsidR="002B0DDF">
        <w:rPr>
          <w:rFonts w:ascii="Times New Roman" w:hAnsi="Times New Roman" w:cs="Times New Roman"/>
          <w:color w:val="000000"/>
          <w:sz w:val="20"/>
          <w:szCs w:val="20"/>
        </w:rPr>
        <w:t xml:space="preserve"> </w:t>
      </w:r>
      <w:bookmarkStart w:id="11" w:name="co_pp_sp_7049_316_1"/>
      <w:bookmarkEnd w:id="11"/>
      <w:r w:rsidR="002B0DDF">
        <w:rPr>
          <w:rFonts w:ascii="Times New Roman" w:hAnsi="Times New Roman" w:cs="Times New Roman"/>
          <w:b/>
          <w:bCs/>
          <w:color w:val="000000"/>
          <w:sz w:val="20"/>
          <w:szCs w:val="20"/>
        </w:rPr>
        <w:t>*316</w:t>
      </w:r>
      <w:r w:rsidR="002B0DDF">
        <w:rPr>
          <w:rFonts w:ascii="Times New Roman" w:hAnsi="Times New Roman" w:cs="Times New Roman"/>
          <w:color w:val="000000"/>
          <w:sz w:val="20"/>
          <w:szCs w:val="20"/>
        </w:rPr>
        <w:t xml:space="preserve"> Defendant Kenney fails to demonstrate that his deposition in New York would cause him substantial hardship (</w:t>
      </w:r>
      <w:r w:rsidR="002B0DDF">
        <w:rPr>
          <w:rFonts w:ascii="Times New Roman" w:hAnsi="Times New Roman" w:cs="Times New Roman"/>
          <w:i/>
          <w:iCs/>
          <w:color w:val="000000"/>
          <w:sz w:val="20"/>
          <w:szCs w:val="20"/>
        </w:rPr>
        <w:t xml:space="preserve">see </w:t>
      </w:r>
      <w:hyperlink r:id="rId19" w:history="1">
        <w:r w:rsidR="002B0DDF">
          <w:rPr>
            <w:rFonts w:ascii="Times New Roman" w:hAnsi="Times New Roman" w:cs="Times New Roman"/>
            <w:i/>
            <w:iCs/>
            <w:color w:val="0000FF"/>
            <w:sz w:val="20"/>
            <w:szCs w:val="20"/>
          </w:rPr>
          <w:t xml:space="preserve">Swiss Bank Corp. v. </w:t>
        </w:r>
        <w:proofErr w:type="spellStart"/>
        <w:r w:rsidR="002B0DDF">
          <w:rPr>
            <w:rFonts w:ascii="Times New Roman" w:hAnsi="Times New Roman" w:cs="Times New Roman"/>
            <w:i/>
            <w:iCs/>
            <w:color w:val="0000FF"/>
            <w:sz w:val="20"/>
            <w:szCs w:val="20"/>
          </w:rPr>
          <w:t>Geecee</w:t>
        </w:r>
        <w:proofErr w:type="spellEnd"/>
        <w:r w:rsidR="002B0DDF">
          <w:rPr>
            <w:rFonts w:ascii="Times New Roman" w:hAnsi="Times New Roman" w:cs="Times New Roman"/>
            <w:i/>
            <w:iCs/>
            <w:color w:val="0000FF"/>
            <w:sz w:val="20"/>
            <w:szCs w:val="20"/>
          </w:rPr>
          <w:t xml:space="preserve"> </w:t>
        </w:r>
        <w:proofErr w:type="spellStart"/>
        <w:r w:rsidR="002B0DDF">
          <w:rPr>
            <w:rFonts w:ascii="Times New Roman" w:hAnsi="Times New Roman" w:cs="Times New Roman"/>
            <w:i/>
            <w:iCs/>
            <w:color w:val="0000FF"/>
            <w:sz w:val="20"/>
            <w:szCs w:val="20"/>
          </w:rPr>
          <w:t>Exportaciones</w:t>
        </w:r>
        <w:proofErr w:type="spellEnd"/>
        <w:r w:rsidR="002B0DDF">
          <w:rPr>
            <w:rFonts w:ascii="Times New Roman" w:hAnsi="Times New Roman" w:cs="Times New Roman"/>
            <w:i/>
            <w:iCs/>
            <w:color w:val="0000FF"/>
            <w:sz w:val="20"/>
            <w:szCs w:val="20"/>
          </w:rPr>
          <w:t>,</w:t>
        </w:r>
        <w:r w:rsidR="002B0DDF">
          <w:rPr>
            <w:rFonts w:ascii="Times New Roman" w:hAnsi="Times New Roman" w:cs="Times New Roman"/>
            <w:color w:val="0000FF"/>
            <w:sz w:val="20"/>
            <w:szCs w:val="20"/>
          </w:rPr>
          <w:t xml:space="preserve"> 260 A.D.2d 254, 688 N.Y.S.2d 539 [1999</w:t>
        </w:r>
        <w:proofErr w:type="gramStart"/>
        <w:r w:rsidR="002B0DDF">
          <w:rPr>
            <w:rFonts w:ascii="Times New Roman" w:hAnsi="Times New Roman" w:cs="Times New Roman"/>
            <w:color w:val="0000FF"/>
            <w:sz w:val="20"/>
            <w:szCs w:val="20"/>
          </w:rPr>
          <w:t>] )</w:t>
        </w:r>
        <w:proofErr w:type="gramEnd"/>
        <w:r w:rsidR="002B0DDF">
          <w:rPr>
            <w:rFonts w:ascii="Times New Roman" w:hAnsi="Times New Roman" w:cs="Times New Roman"/>
            <w:color w:val="0000FF"/>
            <w:sz w:val="20"/>
            <w:szCs w:val="20"/>
          </w:rPr>
          <w:t>.</w:t>
        </w:r>
      </w:hyperlink>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 </w:t>
      </w:r>
    </w:p>
    <w:p w:rsidR="006A7A87" w:rsidRDefault="002B0DDF">
      <w:pPr>
        <w:widowControl w:val="0"/>
        <w:autoSpaceDE w:val="0"/>
        <w:autoSpaceDN w:val="0"/>
        <w:adjustRightInd w:val="0"/>
        <w:spacing w:before="400" w:line="240" w:lineRule="auto"/>
        <w:jc w:val="both"/>
        <w:rPr>
          <w:rFonts w:ascii="Times New Roman" w:hAnsi="Times New Roman" w:cs="Times New Roman"/>
          <w:b/>
          <w:bCs/>
          <w:color w:val="252525"/>
          <w:sz w:val="20"/>
          <w:szCs w:val="20"/>
        </w:rPr>
      </w:pPr>
      <w:bookmarkStart w:id="12" w:name="co_parallelCitations_1"/>
      <w:bookmarkEnd w:id="12"/>
      <w:r>
        <w:rPr>
          <w:rFonts w:ascii="Times New Roman" w:hAnsi="Times New Roman" w:cs="Times New Roman"/>
          <w:b/>
          <w:bCs/>
          <w:color w:val="252525"/>
          <w:sz w:val="20"/>
          <w:szCs w:val="20"/>
        </w:rPr>
        <w:t>Parallel Citations</w:t>
      </w:r>
    </w:p>
    <w:p w:rsidR="006A7A87" w:rsidRDefault="002B0DDF">
      <w:pPr>
        <w:widowControl w:val="0"/>
        <w:autoSpaceDE w:val="0"/>
        <w:autoSpaceDN w:val="0"/>
        <w:adjustRightInd w:val="0"/>
        <w:spacing w:after="0" w:line="240" w:lineRule="auto"/>
        <w:jc w:val="both"/>
        <w:rPr>
          <w:rFonts w:ascii="Times New Roman" w:hAnsi="Times New Roman" w:cs="Times New Roman"/>
          <w:color w:val="000000"/>
          <w:sz w:val="20"/>
          <w:szCs w:val="20"/>
        </w:rPr>
      </w:pPr>
      <w:r>
        <w:rPr>
          <w:rFonts w:ascii="Times New Roman" w:hAnsi="Times New Roman" w:cs="Times New Roman"/>
          <w:color w:val="000000"/>
          <w:sz w:val="20"/>
          <w:szCs w:val="20"/>
        </w:rPr>
        <w:t>34 A.D.3d 315, 824 N.Y.S.2d 264, 2006 N.Y. Slip Op. 08327</w:t>
      </w:r>
    </w:p>
    <w:p w:rsidR="006A7A87" w:rsidRDefault="006A7A87">
      <w:pPr>
        <w:widowControl w:val="0"/>
        <w:autoSpaceDE w:val="0"/>
        <w:autoSpaceDN w:val="0"/>
        <w:adjustRightInd w:val="0"/>
        <w:spacing w:after="0" w:line="240" w:lineRule="auto"/>
        <w:rPr>
          <w:rFonts w:ascii="sans-serif" w:hAnsi="sans-serif" w:cs="sans-serif"/>
          <w:color w:val="000000"/>
          <w:sz w:val="24"/>
          <w:szCs w:val="24"/>
        </w:rPr>
      </w:pPr>
    </w:p>
    <w:p w:rsidR="006A7A87" w:rsidRDefault="006A7A87">
      <w:pPr>
        <w:widowControl w:val="0"/>
        <w:autoSpaceDE w:val="0"/>
        <w:autoSpaceDN w:val="0"/>
        <w:adjustRightInd w:val="0"/>
        <w:spacing w:after="0" w:line="240" w:lineRule="auto"/>
        <w:rPr>
          <w:rFonts w:ascii="Arial" w:hAnsi="Arial" w:cs="Arial"/>
          <w:sz w:val="24"/>
          <w:szCs w:val="24"/>
        </w:rPr>
        <w:sectPr w:rsidR="006A7A87">
          <w:type w:val="continuous"/>
          <w:pgSz w:w="12240" w:h="15840"/>
          <w:pgMar w:top="1800" w:right="1080" w:bottom="1080" w:left="1080" w:header="720" w:footer="720" w:gutter="0"/>
          <w:cols w:num="2" w:space="720"/>
          <w:noEndnote/>
        </w:sectPr>
      </w:pPr>
    </w:p>
    <w:tbl>
      <w:tblPr>
        <w:tblW w:w="0" w:type="auto"/>
        <w:tblInd w:w="24" w:type="dxa"/>
        <w:tblLayout w:type="fixed"/>
        <w:tblCellMar>
          <w:left w:w="0" w:type="dxa"/>
          <w:right w:w="0" w:type="dxa"/>
        </w:tblCellMar>
        <w:tblLook w:val="0000" w:firstRow="0" w:lastRow="0" w:firstColumn="0" w:lastColumn="0" w:noHBand="0" w:noVBand="0"/>
      </w:tblPr>
      <w:tblGrid>
        <w:gridCol w:w="4320"/>
        <w:gridCol w:w="5760"/>
      </w:tblGrid>
      <w:tr w:rsidR="006A7A87">
        <w:tc>
          <w:tcPr>
            <w:tcW w:w="4320" w:type="dxa"/>
            <w:tcBorders>
              <w:top w:val="single" w:sz="4" w:space="0" w:color="777777"/>
              <w:left w:val="nil"/>
              <w:bottom w:val="nil"/>
              <w:right w:val="nil"/>
            </w:tcBorders>
            <w:tcMar>
              <w:top w:w="100" w:type="dxa"/>
              <w:left w:w="24" w:type="dxa"/>
              <w:right w:w="24" w:type="dxa"/>
            </w:tcMar>
          </w:tcPr>
          <w:p w:rsidR="006A7A87" w:rsidRDefault="002B0DDF">
            <w:pPr>
              <w:widowControl w:val="0"/>
              <w:autoSpaceDE w:val="0"/>
              <w:autoSpaceDN w:val="0"/>
              <w:adjustRightInd w:val="0"/>
              <w:spacing w:after="0" w:line="240" w:lineRule="auto"/>
              <w:ind w:left="24" w:right="24"/>
              <w:rPr>
                <w:rFonts w:ascii="sans-serif" w:hAnsi="sans-serif" w:cs="sans-serif"/>
                <w:b/>
                <w:bCs/>
                <w:color w:val="777777"/>
                <w:sz w:val="16"/>
                <w:szCs w:val="16"/>
              </w:rPr>
            </w:pPr>
            <w:r>
              <w:rPr>
                <w:rFonts w:ascii="Arial" w:hAnsi="Arial" w:cs="Arial"/>
                <w:sz w:val="24"/>
                <w:szCs w:val="24"/>
              </w:rPr>
              <w:lastRenderedPageBreak/>
              <w:t xml:space="preserve"> </w:t>
            </w:r>
            <w:r>
              <w:rPr>
                <w:rFonts w:ascii="sans-serif" w:hAnsi="sans-serif" w:cs="sans-serif"/>
                <w:b/>
                <w:bCs/>
                <w:color w:val="777777"/>
                <w:sz w:val="16"/>
                <w:szCs w:val="16"/>
              </w:rPr>
              <w:t>End of Document</w:t>
            </w:r>
          </w:p>
        </w:tc>
        <w:tc>
          <w:tcPr>
            <w:tcW w:w="5760" w:type="dxa"/>
            <w:tcBorders>
              <w:top w:val="single" w:sz="4" w:space="0" w:color="777777"/>
              <w:left w:val="nil"/>
              <w:bottom w:val="nil"/>
              <w:right w:val="nil"/>
            </w:tcBorders>
            <w:tcMar>
              <w:top w:w="100" w:type="dxa"/>
              <w:left w:w="24" w:type="dxa"/>
              <w:right w:w="24" w:type="dxa"/>
            </w:tcMar>
          </w:tcPr>
          <w:p w:rsidR="006A7A87" w:rsidRDefault="002B0DDF">
            <w:pPr>
              <w:widowControl w:val="0"/>
              <w:autoSpaceDE w:val="0"/>
              <w:autoSpaceDN w:val="0"/>
              <w:adjustRightInd w:val="0"/>
              <w:spacing w:after="0" w:line="240" w:lineRule="auto"/>
              <w:ind w:left="24" w:right="24"/>
              <w:jc w:val="right"/>
              <w:rPr>
                <w:rFonts w:ascii="sans-serif" w:hAnsi="sans-serif" w:cs="sans-serif"/>
                <w:color w:val="777777"/>
                <w:sz w:val="16"/>
                <w:szCs w:val="16"/>
              </w:rPr>
            </w:pPr>
            <w:r>
              <w:rPr>
                <w:rFonts w:ascii="sans-serif" w:hAnsi="sans-serif" w:cs="sans-serif"/>
                <w:color w:val="777777"/>
                <w:sz w:val="16"/>
                <w:szCs w:val="16"/>
              </w:rPr>
              <w:t>© 2013 Thomson Reuters. No claim to original U.S. Government Works.</w:t>
            </w:r>
          </w:p>
        </w:tc>
      </w:tr>
    </w:tbl>
    <w:p w:rsidR="006A7A87" w:rsidRDefault="006A7A87">
      <w:pPr>
        <w:widowControl w:val="0"/>
        <w:autoSpaceDE w:val="0"/>
        <w:autoSpaceDN w:val="0"/>
        <w:adjustRightInd w:val="0"/>
        <w:spacing w:after="0" w:line="240" w:lineRule="auto"/>
        <w:rPr>
          <w:rFonts w:ascii="Arial" w:hAnsi="Arial" w:cs="Arial"/>
          <w:sz w:val="24"/>
          <w:szCs w:val="24"/>
        </w:rPr>
      </w:pPr>
    </w:p>
    <w:p w:rsidR="006A7A87" w:rsidRDefault="006A7A87">
      <w:pPr>
        <w:widowControl w:val="0"/>
        <w:autoSpaceDE w:val="0"/>
        <w:autoSpaceDN w:val="0"/>
        <w:adjustRightInd w:val="0"/>
        <w:spacing w:after="0" w:line="240" w:lineRule="auto"/>
        <w:rPr>
          <w:rFonts w:ascii="sans-serif" w:hAnsi="sans-serif" w:cs="sans-serif"/>
          <w:color w:val="000000"/>
          <w:sz w:val="24"/>
          <w:szCs w:val="24"/>
        </w:rPr>
      </w:pPr>
    </w:p>
    <w:p w:rsidR="006A7A87" w:rsidRDefault="006A7A87">
      <w:pPr>
        <w:widowControl w:val="0"/>
        <w:autoSpaceDE w:val="0"/>
        <w:autoSpaceDN w:val="0"/>
        <w:adjustRightInd w:val="0"/>
        <w:spacing w:after="0" w:line="240" w:lineRule="auto"/>
        <w:rPr>
          <w:rFonts w:ascii="Arial" w:hAnsi="Arial" w:cs="Arial"/>
          <w:sz w:val="24"/>
          <w:szCs w:val="24"/>
        </w:rPr>
        <w:sectPr w:rsidR="006A7A87">
          <w:type w:val="continuous"/>
          <w:pgSz w:w="12240" w:h="15840"/>
          <w:pgMar w:top="1800" w:right="1080" w:bottom="1080" w:left="1080" w:header="720" w:footer="720" w:gutter="0"/>
          <w:cols w:space="720"/>
          <w:noEndnote/>
        </w:sectPr>
      </w:pPr>
    </w:p>
    <w:p w:rsidR="002B0DDF" w:rsidRDefault="002B0DDF">
      <w:pPr>
        <w:widowControl w:val="0"/>
        <w:autoSpaceDE w:val="0"/>
        <w:autoSpaceDN w:val="0"/>
        <w:adjustRightInd w:val="0"/>
        <w:spacing w:after="0" w:line="240" w:lineRule="auto"/>
        <w:rPr>
          <w:rFonts w:ascii="Arial" w:hAnsi="Arial" w:cs="Arial"/>
          <w:sz w:val="24"/>
          <w:szCs w:val="24"/>
        </w:rPr>
      </w:pPr>
      <w:r>
        <w:rPr>
          <w:rFonts w:ascii="Arial" w:hAnsi="Arial" w:cs="Arial"/>
          <w:sz w:val="24"/>
          <w:szCs w:val="24"/>
        </w:rPr>
        <w:lastRenderedPageBreak/>
        <w:t xml:space="preserve"> </w:t>
      </w:r>
    </w:p>
    <w:sectPr w:rsidR="002B0DDF">
      <w:type w:val="continuous"/>
      <w:pgSz w:w="12240" w:h="15840"/>
      <w:pgMar w:top="1800" w:right="1080" w:bottom="1080" w:left="1080" w:header="720" w:footer="720" w:gutter="0"/>
      <w:cols w:num="2" w:space="720"/>
      <w:noEndnote/>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B0DDF" w:rsidRDefault="002B0DDF">
      <w:pPr>
        <w:spacing w:after="0" w:line="240" w:lineRule="auto"/>
      </w:pPr>
      <w:r>
        <w:separator/>
      </w:r>
    </w:p>
  </w:endnote>
  <w:endnote w:type="continuationSeparator" w:id="0">
    <w:p w:rsidR="002B0DDF" w:rsidRDefault="002B0D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sans-serif">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Georgia">
    <w:panose1 w:val="02040502050405020303"/>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9300"/>
      <w:gridCol w:w="700"/>
    </w:tblGrid>
    <w:tr w:rsidR="006A7A87">
      <w:tc>
        <w:tcPr>
          <w:tcW w:w="9300" w:type="dxa"/>
          <w:tcBorders>
            <w:top w:val="single" w:sz="8" w:space="0" w:color="AAAAAA"/>
            <w:left w:val="nil"/>
            <w:bottom w:val="nil"/>
            <w:right w:val="nil"/>
          </w:tcBorders>
          <w:tcMar>
            <w:top w:w="60" w:type="dxa"/>
          </w:tcMar>
          <w:vAlign w:val="bottom"/>
        </w:tcPr>
        <w:p w:rsidR="006A7A87" w:rsidRDefault="007E12D1">
          <w:pPr>
            <w:widowControl w:val="0"/>
            <w:autoSpaceDE w:val="0"/>
            <w:autoSpaceDN w:val="0"/>
            <w:adjustRightInd w:val="0"/>
            <w:spacing w:after="0" w:line="240" w:lineRule="auto"/>
            <w:rPr>
              <w:rFonts w:ascii="Arial" w:hAnsi="Arial" w:cs="Arial"/>
              <w:color w:val="AAAAAA"/>
              <w:sz w:val="20"/>
              <w:szCs w:val="20"/>
            </w:rPr>
          </w:pPr>
          <w:r>
            <w:rPr>
              <w:rFonts w:ascii="Arial" w:hAnsi="Arial" w:cs="Arial"/>
              <w:noProof/>
              <w:color w:val="AAAAAA"/>
              <w:sz w:val="20"/>
              <w:szCs w:val="20"/>
            </w:rPr>
            <w:drawing>
              <wp:inline distT="0" distB="0" distL="0" distR="0">
                <wp:extent cx="748030" cy="95250"/>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748030" cy="95250"/>
                        </a:xfrm>
                        <a:prstGeom prst="rect">
                          <a:avLst/>
                        </a:prstGeom>
                        <a:noFill/>
                        <a:ln w="9525">
                          <a:noFill/>
                          <a:miter lim="800000"/>
                          <a:headEnd/>
                          <a:tailEnd/>
                        </a:ln>
                      </pic:spPr>
                    </pic:pic>
                  </a:graphicData>
                </a:graphic>
              </wp:inline>
            </w:drawing>
          </w:r>
          <w:r w:rsidR="002B0DDF">
            <w:rPr>
              <w:rFonts w:ascii="Arial" w:hAnsi="Arial" w:cs="Arial"/>
              <w:color w:val="AAAAAA"/>
              <w:sz w:val="20"/>
              <w:szCs w:val="20"/>
            </w:rPr>
            <w:t xml:space="preserve"> © 2013 Thomson Reuters. No claim to original U.S. Government Works.</w:t>
          </w:r>
        </w:p>
      </w:tc>
      <w:tc>
        <w:tcPr>
          <w:tcW w:w="700" w:type="dxa"/>
          <w:tcBorders>
            <w:top w:val="single" w:sz="8" w:space="0" w:color="AAAAAA"/>
            <w:left w:val="nil"/>
            <w:bottom w:val="nil"/>
            <w:right w:val="nil"/>
          </w:tcBorders>
          <w:tcMar>
            <w:top w:w="60" w:type="dxa"/>
          </w:tcMar>
        </w:tcPr>
        <w:p w:rsidR="006A7A87" w:rsidRDefault="002B0DDF">
          <w:pPr>
            <w:widowControl w:val="0"/>
            <w:autoSpaceDE w:val="0"/>
            <w:autoSpaceDN w:val="0"/>
            <w:adjustRightInd w:val="0"/>
            <w:spacing w:after="0" w:line="240" w:lineRule="auto"/>
            <w:jc w:val="right"/>
            <w:rPr>
              <w:rFonts w:ascii="Arial" w:hAnsi="Arial" w:cs="Arial"/>
              <w:color w:val="AAAAAA"/>
              <w:sz w:val="20"/>
              <w:szCs w:val="20"/>
            </w:rPr>
          </w:pPr>
          <w:r>
            <w:rPr>
              <w:rFonts w:ascii="Arial" w:hAnsi="Arial" w:cs="Arial"/>
              <w:color w:val="AAAAAA"/>
              <w:sz w:val="20"/>
              <w:szCs w:val="20"/>
            </w:rPr>
            <w:pgNum/>
          </w:r>
        </w:p>
      </w:tc>
    </w:tr>
  </w:tbl>
  <w:p w:rsidR="006A7A87" w:rsidRDefault="006A7A87">
    <w:pPr>
      <w:widowControl w:val="0"/>
      <w:autoSpaceDE w:val="0"/>
      <w:autoSpaceDN w:val="0"/>
      <w:adjustRightInd w:val="0"/>
      <w:spacing w:after="0" w:line="240" w:lineRule="auto"/>
      <w:rPr>
        <w:rFonts w:ascii="Arial" w:hAnsi="Arial" w:cs="Arial"/>
        <w:sz w:val="24"/>
        <w:szCs w:val="2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B0DDF" w:rsidRDefault="002B0DDF">
      <w:pPr>
        <w:spacing w:after="0" w:line="240" w:lineRule="auto"/>
      </w:pPr>
      <w:r>
        <w:separator/>
      </w:r>
    </w:p>
  </w:footnote>
  <w:footnote w:type="continuationSeparator" w:id="0">
    <w:p w:rsidR="002B0DDF" w:rsidRDefault="002B0DD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0" w:type="dxa"/>
        <w:right w:w="0" w:type="dxa"/>
      </w:tblCellMar>
      <w:tblLook w:val="0000" w:firstRow="0" w:lastRow="0" w:firstColumn="0" w:lastColumn="0" w:noHBand="0" w:noVBand="0"/>
    </w:tblPr>
    <w:tblGrid>
      <w:gridCol w:w="9380"/>
      <w:gridCol w:w="700"/>
    </w:tblGrid>
    <w:tr w:rsidR="006A7A87">
      <w:trPr>
        <w:gridAfter w:val="1"/>
        <w:wAfter w:w="700" w:type="dxa"/>
      </w:trPr>
      <w:tc>
        <w:tcPr>
          <w:tcW w:w="9380" w:type="dxa"/>
          <w:tcBorders>
            <w:top w:val="nil"/>
            <w:left w:val="nil"/>
            <w:bottom w:val="nil"/>
            <w:right w:val="nil"/>
          </w:tcBorders>
          <w:tcMar>
            <w:top w:w="400" w:type="dxa"/>
            <w:bottom w:w="60" w:type="dxa"/>
          </w:tcMar>
          <w:vAlign w:val="bottom"/>
        </w:tcPr>
        <w:p w:rsidR="006A7A87" w:rsidRDefault="002B0DDF">
          <w:pPr>
            <w:widowControl w:val="0"/>
            <w:autoSpaceDE w:val="0"/>
            <w:autoSpaceDN w:val="0"/>
            <w:adjustRightInd w:val="0"/>
            <w:spacing w:after="0" w:line="240" w:lineRule="auto"/>
            <w:jc w:val="center"/>
            <w:rPr>
              <w:rFonts w:ascii="Arial" w:hAnsi="Arial" w:cs="Arial"/>
              <w:color w:val="000000"/>
              <w:sz w:val="18"/>
              <w:szCs w:val="18"/>
            </w:rPr>
          </w:pPr>
          <w:proofErr w:type="spellStart"/>
          <w:r>
            <w:rPr>
              <w:rFonts w:ascii="Arial" w:hAnsi="Arial" w:cs="Arial"/>
              <w:b/>
              <w:bCs/>
              <w:color w:val="000000"/>
              <w:sz w:val="18"/>
              <w:szCs w:val="18"/>
            </w:rPr>
            <w:t>Borchert</w:t>
          </w:r>
          <w:proofErr w:type="spellEnd"/>
          <w:r>
            <w:rPr>
              <w:rFonts w:ascii="Arial" w:hAnsi="Arial" w:cs="Arial"/>
              <w:b/>
              <w:bCs/>
              <w:color w:val="000000"/>
              <w:sz w:val="18"/>
              <w:szCs w:val="18"/>
            </w:rPr>
            <w:t>, Chris</w:t>
          </w:r>
          <w:r>
            <w:rPr>
              <w:rFonts w:ascii="Arial" w:hAnsi="Arial" w:cs="Arial"/>
              <w:color w:val="000000"/>
              <w:sz w:val="18"/>
              <w:szCs w:val="18"/>
            </w:rPr>
            <w:t xml:space="preserve"> </w:t>
          </w:r>
          <w:r>
            <w:rPr>
              <w:rFonts w:ascii="Arial" w:hAnsi="Arial" w:cs="Arial"/>
              <w:b/>
              <w:bCs/>
              <w:color w:val="000000"/>
              <w:sz w:val="18"/>
              <w:szCs w:val="18"/>
            </w:rPr>
            <w:t>2/5/2013</w:t>
          </w:r>
        </w:p>
        <w:p w:rsidR="006A7A87" w:rsidRDefault="002B0DDF">
          <w:pPr>
            <w:widowControl w:val="0"/>
            <w:autoSpaceDE w:val="0"/>
            <w:autoSpaceDN w:val="0"/>
            <w:adjustRightInd w:val="0"/>
            <w:spacing w:after="0" w:line="240" w:lineRule="auto"/>
            <w:jc w:val="center"/>
            <w:rPr>
              <w:rFonts w:ascii="Arial" w:hAnsi="Arial" w:cs="Arial"/>
              <w:color w:val="000000"/>
              <w:sz w:val="18"/>
              <w:szCs w:val="18"/>
            </w:rPr>
          </w:pPr>
          <w:r>
            <w:rPr>
              <w:rFonts w:ascii="Arial" w:hAnsi="Arial" w:cs="Arial"/>
              <w:b/>
              <w:bCs/>
              <w:color w:val="000000"/>
              <w:sz w:val="18"/>
              <w:szCs w:val="18"/>
            </w:rPr>
            <w:t>For Educational Use Only</w:t>
          </w:r>
        </w:p>
      </w:tc>
    </w:tr>
    <w:tr w:rsidR="006A7A87">
      <w:tc>
        <w:tcPr>
          <w:tcW w:w="9380" w:type="dxa"/>
          <w:tcBorders>
            <w:top w:val="nil"/>
            <w:left w:val="nil"/>
            <w:bottom w:val="single" w:sz="8" w:space="0" w:color="AAAAAA"/>
            <w:right w:val="nil"/>
          </w:tcBorders>
          <w:tcMar>
            <w:top w:w="400" w:type="dxa"/>
            <w:bottom w:w="60" w:type="dxa"/>
          </w:tcMar>
          <w:vAlign w:val="bottom"/>
        </w:tcPr>
        <w:p w:rsidR="006A7A87" w:rsidRDefault="002B0DDF">
          <w:pPr>
            <w:widowControl w:val="0"/>
            <w:autoSpaceDE w:val="0"/>
            <w:autoSpaceDN w:val="0"/>
            <w:adjustRightInd w:val="0"/>
            <w:spacing w:after="0" w:line="240" w:lineRule="auto"/>
            <w:rPr>
              <w:rFonts w:ascii="Arial" w:hAnsi="Arial" w:cs="Arial"/>
              <w:color w:val="000000"/>
              <w:sz w:val="18"/>
              <w:szCs w:val="18"/>
            </w:rPr>
          </w:pPr>
          <w:r>
            <w:rPr>
              <w:rFonts w:ascii="Arial" w:hAnsi="Arial" w:cs="Arial"/>
              <w:b/>
              <w:bCs/>
              <w:color w:val="555555"/>
              <w:sz w:val="18"/>
              <w:szCs w:val="18"/>
            </w:rPr>
            <w:t>Kenney, Becker, LLP v. Kenney, 34 A.D.3d 315 (2006)</w:t>
          </w:r>
        </w:p>
      </w:tc>
      <w:tc>
        <w:tcPr>
          <w:tcW w:w="700" w:type="dxa"/>
          <w:tcBorders>
            <w:top w:val="nil"/>
            <w:left w:val="nil"/>
            <w:bottom w:val="single" w:sz="8" w:space="0" w:color="AAAAAA"/>
            <w:right w:val="nil"/>
          </w:tcBorders>
          <w:tcMar>
            <w:top w:w="400" w:type="dxa"/>
            <w:bottom w:w="60" w:type="dxa"/>
          </w:tcMar>
        </w:tcPr>
        <w:p w:rsidR="006A7A87" w:rsidRDefault="006A7A87">
          <w:pPr>
            <w:widowControl w:val="0"/>
            <w:autoSpaceDE w:val="0"/>
            <w:autoSpaceDN w:val="0"/>
            <w:adjustRightInd w:val="0"/>
            <w:spacing w:after="0" w:line="240" w:lineRule="auto"/>
            <w:jc w:val="right"/>
            <w:rPr>
              <w:rFonts w:ascii="Arial" w:hAnsi="Arial" w:cs="Arial"/>
              <w:color w:val="000000"/>
              <w:sz w:val="18"/>
              <w:szCs w:val="18"/>
            </w:rPr>
          </w:pPr>
        </w:p>
      </w:tc>
    </w:tr>
    <w:tr w:rsidR="006A7A87">
      <w:tc>
        <w:tcPr>
          <w:tcW w:w="10080" w:type="dxa"/>
          <w:gridSpan w:val="2"/>
          <w:tcBorders>
            <w:top w:val="nil"/>
            <w:left w:val="nil"/>
            <w:bottom w:val="nil"/>
            <w:right w:val="nil"/>
          </w:tcBorders>
        </w:tcPr>
        <w:p w:rsidR="006A7A87" w:rsidRDefault="002B0DDF">
          <w:pPr>
            <w:widowControl w:val="0"/>
            <w:autoSpaceDE w:val="0"/>
            <w:autoSpaceDN w:val="0"/>
            <w:adjustRightInd w:val="0"/>
            <w:spacing w:after="0" w:line="240" w:lineRule="auto"/>
            <w:rPr>
              <w:rFonts w:ascii="Arial" w:hAnsi="Arial" w:cs="Arial"/>
              <w:color w:val="000000"/>
              <w:sz w:val="18"/>
              <w:szCs w:val="18"/>
            </w:rPr>
          </w:pPr>
          <w:r>
            <w:rPr>
              <w:rFonts w:ascii="Arial" w:hAnsi="Arial" w:cs="Arial"/>
              <w:color w:val="000000"/>
              <w:sz w:val="18"/>
              <w:szCs w:val="18"/>
            </w:rPr>
            <w:t>824 N.Y.S.2d 264, 2006 N.Y. Slip Op. 08327</w:t>
          </w:r>
        </w:p>
      </w:tc>
    </w:tr>
  </w:tbl>
  <w:p w:rsidR="006A7A87" w:rsidRDefault="006A7A87">
    <w:pPr>
      <w:widowControl w:val="0"/>
      <w:autoSpaceDE w:val="0"/>
      <w:autoSpaceDN w:val="0"/>
      <w:adjustRightInd w:val="0"/>
      <w:spacing w:after="0" w:line="240" w:lineRule="auto"/>
      <w:rPr>
        <w:rFonts w:ascii="Arial" w:hAnsi="Arial" w:cs="Arial"/>
        <w:sz w:val="24"/>
        <w:szCs w:val="24"/>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6F9B"/>
    <w:rsid w:val="002B0DDF"/>
    <w:rsid w:val="006A7A87"/>
    <w:rsid w:val="007E12D1"/>
    <w:rsid w:val="00B34CCD"/>
    <w:rsid w:val="00FB6F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4CC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4CCD"/>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34CC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34CCD"/>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yperlink" Target="http://www.westlaw.com/Link/Document/FullText?findType=h&amp;pubNum=176284&amp;cite=0108502901&amp;originatingDoc=I31225ee2759311dbab489133ffb377e0&amp;refType=RQ&amp;originationContext=document&amp;vr=3.0&amp;rs=cblt1.0&amp;transitionType=DocumentItem&amp;contextData=(sc.Search)"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www.westlaw.com/Link/Document/FullText?findType=h&amp;pubNum=176284&amp;cite=0342964601&amp;originatingDoc=I31225ee2759311dbab489133ffb377e0&amp;refType=RQ&amp;originationContext=document&amp;vr=3.0&amp;rs=cblt1.0&amp;transitionType=DocumentItem&amp;contextData=(sc.Search)" TargetMode="External"/><Relationship Id="rId11" Type="http://schemas.openxmlformats.org/officeDocument/2006/relationships/hyperlink" Target="http://www.westlaw.com/Link/Document/FullText?findType=h&amp;pubNum=176284&amp;cite=0252277401&amp;originatingDoc=I31225ee2759311dbab489133ffb377e0&amp;refType=RQ&amp;originationContext=document&amp;vr=3.0&amp;rs=cblt1.0&amp;transitionType=DocumentItem&amp;contextData=(sc.Search)" TargetMode="External"/><Relationship Id="rId12" Type="http://schemas.openxmlformats.org/officeDocument/2006/relationships/hyperlink" Target="http://www.westlaw.com/Link/Document/FullText?findType=h&amp;pubNum=176284&amp;cite=0151533601&amp;originatingDoc=I31225ee2759311dbab489133ffb377e0&amp;refType=RQ&amp;originationContext=document&amp;vr=3.0&amp;rs=cblt1.0&amp;transitionType=DocumentItem&amp;contextData=(sc.Search)" TargetMode="External"/><Relationship Id="rId13" Type="http://schemas.openxmlformats.org/officeDocument/2006/relationships/hyperlink" Target="http://www.westlaw.com/Link/Document/FullText?findType=h&amp;pubNum=176284&amp;cite=0131748501&amp;originatingDoc=I31225ee2759311dbab489133ffb377e0&amp;refType=RQ&amp;originationContext=document&amp;vr=3.0&amp;rs=cblt1.0&amp;transitionType=DocumentItem&amp;contextData=(sc.Search)" TargetMode="External"/><Relationship Id="rId14" Type="http://schemas.openxmlformats.org/officeDocument/2006/relationships/hyperlink" Target="http://www.westlaw.com/Link/Document/FullText?findType=h&amp;pubNum=176284&amp;cite=0195821901&amp;originatingDoc=I31225ee2759311dbab489133ffb377e0&amp;refType=RQ&amp;originationContext=document&amp;vr=3.0&amp;rs=cblt1.0&amp;transitionType=DocumentItem&amp;contextData=(sc.Search)" TargetMode="External"/><Relationship Id="rId15" Type="http://schemas.openxmlformats.org/officeDocument/2006/relationships/hyperlink" Target="http://www.westlaw.com/Link/Document/FullText?findType=h&amp;pubNum=176284&amp;cite=0336075701&amp;originatingDoc=I31225ee2759311dbab489133ffb377e0&amp;refType=RQ&amp;originationContext=document&amp;vr=3.0&amp;rs=cblt1.0&amp;transitionType=DocumentItem&amp;contextData=(sc.Search)" TargetMode="External"/><Relationship Id="rId16" Type="http://schemas.openxmlformats.org/officeDocument/2006/relationships/hyperlink" Target="http://www.westlaw.com/Link/Document/FullText?findType=L&amp;pubNum=1000059&amp;cite=NYCPS3101&amp;originatingDoc=I31225ee2759311dbab489133ffb377e0&amp;refType=LQ&amp;originationContext=document&amp;vr=3.0&amp;rs=cblt1.0&amp;transitionType=DocumentItem&amp;contextData=(sc.Search)" TargetMode="External"/><Relationship Id="rId17" Type="http://schemas.openxmlformats.org/officeDocument/2006/relationships/hyperlink" Target="http://www.westlaw.com/Link/Document/FullText?findType=L&amp;pubNum=1000059&amp;cite=NYCPS3101&amp;originatingDoc=I31225ee2759311dbab489133ffb377e0&amp;refType=LQ&amp;originationContext=document&amp;vr=3.0&amp;rs=cblt1.0&amp;transitionType=DocumentItem&amp;contextData=(sc.Search)" TargetMode="External"/><Relationship Id="rId18" Type="http://schemas.openxmlformats.org/officeDocument/2006/relationships/hyperlink" Target="http://www.westlaw.com/Link/Document/FullText?findType=Y&amp;serNum=1991175026&amp;pubNum=578&amp;originationContext=document&amp;vr=3.0&amp;rs=cblt1.0&amp;transitionType=DocumentItem&amp;contextData=(sc.Search)" TargetMode="External"/><Relationship Id="rId19" Type="http://schemas.openxmlformats.org/officeDocument/2006/relationships/hyperlink" Target="http://www.westlaw.com/Link/Document/FullText?findType=Y&amp;serNum=1999106674&amp;pubNum=602&amp;originationContext=document&amp;vr=3.0&amp;rs=cblt1.0&amp;transitionType=DocumentItem&amp;contextData=(sc.Search)" TargetMode="External"/><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830</Words>
  <Characters>4732</Characters>
  <Application>Microsoft Macintosh Word</Application>
  <DocSecurity>0</DocSecurity>
  <Lines>39</Lines>
  <Paragraphs>11</Paragraphs>
  <ScaleCrop>false</ScaleCrop>
  <Company>Hewlett-Packard</Company>
  <LinksUpToDate>false</LinksUpToDate>
  <CharactersWithSpaces>5551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Chrissy</dc:creator>
  <cp:lastModifiedBy>Neil P. Stocco</cp:lastModifiedBy>
  <cp:revision>2</cp:revision>
  <dcterms:created xsi:type="dcterms:W3CDTF">2013-02-08T07:34:00Z</dcterms:created>
  <dcterms:modified xsi:type="dcterms:W3CDTF">2013-02-08T07:34:00Z</dcterms:modified>
</cp:coreProperties>
</file>